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6" w:rsidRPr="00375626" w:rsidRDefault="00375626" w:rsidP="00375626">
      <w:pPr>
        <w:shd w:val="clear" w:color="auto" w:fill="FFFFFF"/>
        <w:spacing w:before="225" w:after="225" w:line="240" w:lineRule="auto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bookmarkStart w:id="0" w:name="_GoBack"/>
      <w:bookmarkEnd w:id="0"/>
      <w:r w:rsidRPr="00375626"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04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 wp14:anchorId="68C80293" wp14:editId="513034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</w:t>
      </w:r>
      <w:proofErr w:type="gramEnd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тел: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                          </w:t>
      </w:r>
      <w:r w:rsidR="00FE41E7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аварийно-диспетчерской службы</w:t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.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 wp14:anchorId="5C17A55B" wp14:editId="444209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375626">
        <w:rPr>
          <w:rFonts w:ascii="Helvetica" w:eastAsia="Times New Roman" w:hAnsi="Helvetica" w:cs="Helvetica"/>
          <w:sz w:val="24"/>
          <w:szCs w:val="24"/>
          <w:lang w:eastAsia="ru-RU"/>
        </w:rPr>
        <w:t>помещение с помощью газовой плиты;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 wp14:anchorId="122F79BD" wp14:editId="023ADD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 с неисправной автоматикой 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безопасности;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lastRenderedPageBreak/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 wp14:anchorId="425E0DCB" wp14:editId="4E75E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обеспечьте извлечение задвижки (шибера) при ее наличии и герметизацию</w:t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375626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перед розжигом газовой печи затем дверцу поддувала;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5E4FE8" w:rsidRDefault="005E4FE8"/>
    <w:sectPr w:rsidR="005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6"/>
    <w:rsid w:val="00375626"/>
    <w:rsid w:val="00494A96"/>
    <w:rsid w:val="005E4FE8"/>
    <w:rsid w:val="00C8149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Вяльцева</cp:lastModifiedBy>
  <cp:revision>2</cp:revision>
  <dcterms:created xsi:type="dcterms:W3CDTF">2019-12-24T11:19:00Z</dcterms:created>
  <dcterms:modified xsi:type="dcterms:W3CDTF">2019-12-24T11:19:00Z</dcterms:modified>
</cp:coreProperties>
</file>